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C81" w:rsidRPr="00136C81" w:rsidRDefault="00136C81" w:rsidP="00136C81">
      <w:pPr>
        <w:pStyle w:val="NoSpacing"/>
        <w:jc w:val="center"/>
        <w:rPr>
          <w:rFonts w:ascii="Times" w:hAnsi="Times" w:cs="Times New Roman"/>
          <w:b/>
          <w:bCs/>
          <w:iCs/>
        </w:rPr>
      </w:pPr>
      <w:bookmarkStart w:id="0" w:name="_GoBack"/>
      <w:r w:rsidRPr="00136C81">
        <w:rPr>
          <w:rFonts w:ascii="Times" w:hAnsi="Times" w:cs="Times New Roman"/>
          <w:b/>
          <w:bCs/>
          <w:iCs/>
        </w:rPr>
        <w:t xml:space="preserve"> </w:t>
      </w:r>
      <w:r w:rsidRPr="00136C81">
        <w:rPr>
          <w:rFonts w:ascii="Times" w:hAnsi="Times" w:cs="Times New Roman"/>
          <w:b/>
          <w:bCs/>
          <w:iCs/>
        </w:rPr>
        <w:t>“Change is the essential process of all existence:” Transformation through</w:t>
      </w:r>
    </w:p>
    <w:p w:rsidR="00136C81" w:rsidRPr="00136C81" w:rsidRDefault="00136C81" w:rsidP="00136C81">
      <w:pPr>
        <w:spacing w:line="480" w:lineRule="auto"/>
        <w:ind w:right="-14"/>
        <w:jc w:val="center"/>
        <w:rPr>
          <w:rFonts w:ascii="Times" w:hAnsi="Times"/>
          <w:b/>
          <w:bCs/>
          <w:iCs/>
        </w:rPr>
      </w:pPr>
      <w:r w:rsidRPr="00136C81">
        <w:rPr>
          <w:rFonts w:ascii="Times" w:hAnsi="Times"/>
          <w:b/>
          <w:bCs/>
          <w:iCs/>
        </w:rPr>
        <w:t xml:space="preserve">Civic Learning and Democratic Engagement’s Theory of Emergent Change </w:t>
      </w:r>
    </w:p>
    <w:p w:rsidR="00136C81" w:rsidRPr="00136C81" w:rsidRDefault="00136C81" w:rsidP="00136C81">
      <w:pPr>
        <w:spacing w:line="480" w:lineRule="auto"/>
        <w:ind w:right="-14"/>
        <w:jc w:val="center"/>
        <w:rPr>
          <w:rFonts w:ascii="Times" w:hAnsi="Times"/>
          <w:b/>
          <w:bCs/>
          <w:iCs/>
        </w:rPr>
      </w:pPr>
      <w:r w:rsidRPr="00136C81">
        <w:rPr>
          <w:rFonts w:ascii="Times" w:hAnsi="Times"/>
          <w:b/>
          <w:bCs/>
          <w:iCs/>
        </w:rPr>
        <w:t>Figure 1 – 4</w:t>
      </w:r>
    </w:p>
    <w:p w:rsidR="00136C81" w:rsidRPr="00136C81" w:rsidRDefault="00136C81" w:rsidP="00136C81">
      <w:pPr>
        <w:spacing w:line="480" w:lineRule="auto"/>
        <w:ind w:right="-14"/>
        <w:jc w:val="center"/>
        <w:rPr>
          <w:rFonts w:ascii="Times" w:hAnsi="Times"/>
          <w:b/>
          <w:bCs/>
          <w:iCs/>
        </w:rPr>
      </w:pPr>
    </w:p>
    <w:p w:rsidR="00136C81" w:rsidRPr="00136C81" w:rsidRDefault="00136C81" w:rsidP="00136C81">
      <w:pPr>
        <w:rPr>
          <w:rFonts w:ascii="Times" w:hAnsi="Times"/>
          <w:i/>
        </w:rPr>
      </w:pPr>
      <w:r w:rsidRPr="00136C81">
        <w:rPr>
          <w:rFonts w:ascii="Times" w:hAnsi="Times"/>
          <w:i/>
        </w:rPr>
        <w:t>Figure 1. Traditional or Event Oriented Thinking</w:t>
      </w:r>
    </w:p>
    <w:p w:rsidR="00136C81" w:rsidRPr="00136C81" w:rsidRDefault="00136C81" w:rsidP="00136C81">
      <w:pPr>
        <w:rPr>
          <w:rFonts w:ascii="Times" w:hAnsi="Times"/>
        </w:rPr>
      </w:pPr>
      <w:r w:rsidRPr="00136C81">
        <w:rPr>
          <w:rFonts w:ascii="Times" w:hAnsi="Times"/>
          <w:noProof/>
        </w:rPr>
        <w:drawing>
          <wp:inline distT="0" distB="0" distL="0" distR="0">
            <wp:extent cx="5943600" cy="27749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1_Traditional or Event Oriented Thinkin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7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C81" w:rsidRPr="00136C81" w:rsidRDefault="00136C81" w:rsidP="00136C81">
      <w:pPr>
        <w:rPr>
          <w:rFonts w:ascii="Times" w:hAnsi="Times"/>
        </w:rPr>
      </w:pPr>
    </w:p>
    <w:p w:rsidR="00136C81" w:rsidRPr="00136C81" w:rsidRDefault="00136C81" w:rsidP="00136C81">
      <w:pPr>
        <w:spacing w:line="480" w:lineRule="auto"/>
        <w:rPr>
          <w:rFonts w:ascii="Times" w:hAnsi="Times"/>
          <w:i/>
        </w:rPr>
      </w:pPr>
      <w:r w:rsidRPr="00136C81">
        <w:rPr>
          <w:rFonts w:ascii="Times" w:hAnsi="Times"/>
          <w:i/>
        </w:rPr>
        <w:t>Figure 2. Systems Thinking</w:t>
      </w:r>
    </w:p>
    <w:p w:rsidR="00136C81" w:rsidRPr="00136C81" w:rsidRDefault="00136C81" w:rsidP="00136C81">
      <w:pPr>
        <w:rPr>
          <w:rFonts w:ascii="Times" w:hAnsi="Times"/>
        </w:rPr>
      </w:pPr>
      <w:r w:rsidRPr="00136C81">
        <w:rPr>
          <w:rFonts w:ascii="Times" w:hAnsi="Times"/>
          <w:noProof/>
        </w:rPr>
        <w:drawing>
          <wp:inline distT="0" distB="0" distL="0" distR="0">
            <wp:extent cx="5090160" cy="3079112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2. Systems Thinking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0660" cy="3091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C81" w:rsidRPr="00136C81" w:rsidRDefault="00136C81" w:rsidP="00136C81">
      <w:pPr>
        <w:rPr>
          <w:rFonts w:ascii="Times" w:hAnsi="Times"/>
        </w:rPr>
      </w:pPr>
    </w:p>
    <w:p w:rsidR="00136C81" w:rsidRPr="00136C81" w:rsidRDefault="00136C81" w:rsidP="00136C81">
      <w:pPr>
        <w:rPr>
          <w:rFonts w:ascii="Times" w:hAnsi="Times"/>
        </w:rPr>
      </w:pPr>
    </w:p>
    <w:p w:rsidR="00136C81" w:rsidRPr="00136C81" w:rsidRDefault="00136C81" w:rsidP="00136C81">
      <w:pPr>
        <w:spacing w:line="480" w:lineRule="auto"/>
        <w:rPr>
          <w:rFonts w:ascii="Times" w:hAnsi="Times"/>
          <w:i/>
        </w:rPr>
      </w:pPr>
      <w:r w:rsidRPr="00136C81">
        <w:rPr>
          <w:rFonts w:ascii="Times" w:hAnsi="Times"/>
          <w:i/>
        </w:rPr>
        <w:lastRenderedPageBreak/>
        <w:t xml:space="preserve">Figure 3. Model of Organizational Resilience (Kerby &amp; </w:t>
      </w:r>
      <w:proofErr w:type="spellStart"/>
      <w:r w:rsidRPr="00136C81">
        <w:rPr>
          <w:rFonts w:ascii="Times" w:hAnsi="Times"/>
          <w:i/>
        </w:rPr>
        <w:t>Mallinger</w:t>
      </w:r>
      <w:proofErr w:type="spellEnd"/>
      <w:r w:rsidRPr="00136C81">
        <w:rPr>
          <w:rFonts w:ascii="Times" w:hAnsi="Times"/>
          <w:i/>
        </w:rPr>
        <w:t>, 2015)</w:t>
      </w:r>
    </w:p>
    <w:p w:rsidR="00136C81" w:rsidRPr="00136C81" w:rsidRDefault="00136C81" w:rsidP="00136C81">
      <w:pPr>
        <w:rPr>
          <w:rFonts w:ascii="Times" w:hAnsi="Times"/>
        </w:rPr>
      </w:pPr>
      <w:r w:rsidRPr="00136C81">
        <w:rPr>
          <w:rFonts w:ascii="Times" w:hAnsi="Times"/>
          <w:noProof/>
        </w:rPr>
        <w:drawing>
          <wp:inline distT="0" distB="0" distL="0" distR="0">
            <wp:extent cx="5943600" cy="32810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igure 3. Model of Organizational Resilience 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1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C81" w:rsidRPr="00136C81" w:rsidRDefault="00136C81" w:rsidP="00136C81">
      <w:pPr>
        <w:spacing w:line="480" w:lineRule="auto"/>
        <w:rPr>
          <w:rFonts w:ascii="Times" w:hAnsi="Times"/>
          <w:i/>
        </w:rPr>
      </w:pPr>
    </w:p>
    <w:p w:rsidR="00136C81" w:rsidRPr="00136C81" w:rsidRDefault="00136C81" w:rsidP="00136C81">
      <w:pPr>
        <w:spacing w:line="480" w:lineRule="auto"/>
        <w:rPr>
          <w:rFonts w:ascii="Times" w:hAnsi="Times"/>
          <w:i/>
        </w:rPr>
      </w:pPr>
      <w:r w:rsidRPr="00136C81">
        <w:rPr>
          <w:rFonts w:ascii="Times" w:hAnsi="Times"/>
          <w:i/>
        </w:rPr>
        <w:t>Figure 4. Retention and Lewin’s Model</w:t>
      </w:r>
    </w:p>
    <w:p w:rsidR="00136C81" w:rsidRPr="00136C81" w:rsidRDefault="00136C81" w:rsidP="00136C81">
      <w:pPr>
        <w:rPr>
          <w:rFonts w:ascii="Times" w:hAnsi="Times"/>
        </w:rPr>
      </w:pPr>
      <w:r w:rsidRPr="00136C81">
        <w:rPr>
          <w:rFonts w:ascii="Times" w:hAnsi="Times"/>
          <w:noProof/>
        </w:rPr>
        <w:drawing>
          <wp:inline distT="0" distB="0" distL="0" distR="0">
            <wp:extent cx="5943600" cy="22821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igure 4. Retention and Lewin’s Model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82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36C81" w:rsidRPr="00136C81" w:rsidSect="00D87C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C81"/>
    <w:rsid w:val="00136C81"/>
    <w:rsid w:val="00D87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35E31"/>
  <w15:chartTrackingRefBased/>
  <w15:docId w15:val="{F6A1BC63-2615-6347-BC23-5FD95522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6C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2019-12-30T14:40:00Z</dcterms:created>
  <dcterms:modified xsi:type="dcterms:W3CDTF">2019-12-30T14:50:00Z</dcterms:modified>
</cp:coreProperties>
</file>